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71B5" w:rsidRPr="00616CD5" w:rsidRDefault="005626B7" w:rsidP="00616C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16CD5">
        <w:rPr>
          <w:rFonts w:ascii="Arial" w:hAnsi="Arial" w:cs="Arial"/>
          <w:b/>
          <w:sz w:val="32"/>
          <w:szCs w:val="32"/>
        </w:rPr>
        <w:t>Problème</w:t>
      </w:r>
      <w:r w:rsidR="00F04228" w:rsidRPr="00616CD5">
        <w:rPr>
          <w:rFonts w:ascii="Arial" w:hAnsi="Arial" w:cs="Arial"/>
          <w:b/>
          <w:sz w:val="32"/>
          <w:szCs w:val="32"/>
        </w:rPr>
        <w:t xml:space="preserve"> 2</w:t>
      </w:r>
      <w:r w:rsidR="00B1756E">
        <w:rPr>
          <w:rFonts w:ascii="Arial" w:hAnsi="Arial" w:cs="Arial"/>
          <w:b/>
          <w:sz w:val="32"/>
          <w:szCs w:val="32"/>
        </w:rPr>
        <w:t>8</w:t>
      </w:r>
      <w:r w:rsidR="00D03A0D">
        <w:rPr>
          <w:rFonts w:ascii="Arial" w:hAnsi="Arial" w:cs="Arial"/>
          <w:b/>
          <w:sz w:val="32"/>
          <w:szCs w:val="32"/>
        </w:rPr>
        <w:t>4</w:t>
      </w:r>
      <w:r w:rsidR="00A6588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AC2522">
        <w:rPr>
          <w:rFonts w:ascii="Arial" w:hAnsi="Arial" w:cs="Arial"/>
          <w:b/>
          <w:sz w:val="32"/>
          <w:szCs w:val="32"/>
        </w:rPr>
        <w:t>Aux couleurs</w:t>
      </w:r>
      <w:r w:rsidR="00F86A06">
        <w:rPr>
          <w:rFonts w:ascii="Arial" w:hAnsi="Arial" w:cs="Arial"/>
          <w:b/>
          <w:sz w:val="32"/>
          <w:szCs w:val="32"/>
        </w:rPr>
        <w:t xml:space="preserve"> de Pepsi</w:t>
      </w:r>
    </w:p>
    <w:p w:rsidR="00616CD5" w:rsidRDefault="00616CD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F86A06">
        <w:rPr>
          <w:rFonts w:ascii="Arial" w:hAnsi="Arial" w:cs="Arial"/>
          <w:b/>
          <w:bCs/>
          <w:color w:val="000000"/>
        </w:rPr>
        <w:t>Terminale</w:t>
      </w:r>
    </w:p>
    <w:p w:rsidR="00416455" w:rsidRDefault="00416455" w:rsidP="00A6610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F86A06">
        <w:rPr>
          <w:rFonts w:ascii="Arial" w:hAnsi="Arial" w:cs="Arial"/>
          <w:b/>
          <w:bCs/>
          <w:color w:val="000000"/>
        </w:rPr>
        <w:t>Intégrales</w:t>
      </w:r>
    </w:p>
    <w:p w:rsidR="00CC0DC9" w:rsidRDefault="00CC40AC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2</w:t>
      </w:r>
      <w:r w:rsidR="00F86A06">
        <w:rPr>
          <w:rFonts w:ascii="Arial" w:hAnsi="Arial" w:cs="Arial"/>
          <w:b/>
          <w:bCs/>
          <w:color w:val="000000"/>
        </w:rPr>
        <w:t>4</w:t>
      </w:r>
      <w:r>
        <w:rPr>
          <w:rFonts w:ascii="Arial" w:hAnsi="Arial" w:cs="Arial"/>
          <w:b/>
          <w:bCs/>
          <w:color w:val="000000"/>
        </w:rPr>
        <w:t>/03/2022</w:t>
      </w:r>
    </w:p>
    <w:p w:rsidR="00E872B7" w:rsidRDefault="00E872B7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AE3E80" w:rsidRDefault="00AE3E80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872B7" w:rsidRPr="00E872B7" w:rsidRDefault="00C97EE9" w:rsidP="00E872B7">
      <w:pPr>
        <w:jc w:val="center"/>
      </w:pPr>
      <w:r>
        <w:rPr>
          <w:noProof/>
        </w:rPr>
        <w:drawing>
          <wp:inline distT="0" distB="0" distL="0" distR="0">
            <wp:extent cx="5994400" cy="4000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2B7" w:rsidRDefault="00E872B7" w:rsidP="00CC40AC">
      <w:pPr>
        <w:jc w:val="both"/>
        <w:rPr>
          <w:rFonts w:ascii="Arial" w:hAnsi="Arial" w:cs="Arial"/>
        </w:rPr>
      </w:pPr>
    </w:p>
    <w:p w:rsidR="00B77960" w:rsidRDefault="00F86A06" w:rsidP="00B779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Grand rival du Coca-Cola depuis la fin du XIX</w:t>
      </w:r>
      <w:r w:rsidRPr="005A29BB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siècle, le Pepsi a ses fans et ses détracteurs. Haro à ceux qui diraient que « c’est la même chose », car il y a une différence vraiment perceptible qui fait que certains penchent pour l’un plutôt que pour l’autre. </w:t>
      </w:r>
      <w:r w:rsidR="00E872B7">
        <w:rPr>
          <w:rFonts w:ascii="Arial" w:hAnsi="Arial" w:cs="Arial"/>
        </w:rPr>
        <w:t>L’éternel débat pour savoir lequel est le meilleur</w:t>
      </w:r>
      <w:r>
        <w:rPr>
          <w:rFonts w:ascii="Arial" w:hAnsi="Arial" w:cs="Arial"/>
        </w:rPr>
        <w:t xml:space="preserve"> ne sera pas tranché ici : nous irons simplement, pour ce problème, nous intéresser au logo de Pepsi, tout aussi reconnaissable que celui du rival.</w:t>
      </w:r>
    </w:p>
    <w:p w:rsidR="00F86A06" w:rsidRDefault="00F86A06" w:rsidP="00B77960">
      <w:pPr>
        <w:jc w:val="both"/>
        <w:rPr>
          <w:rFonts w:ascii="Arial" w:hAnsi="Arial" w:cs="Arial"/>
        </w:rPr>
      </w:pPr>
    </w:p>
    <w:p w:rsidR="00F86A06" w:rsidRDefault="00F86A06" w:rsidP="00F86A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logo d</w:t>
      </w:r>
      <w:r w:rsidR="00AC2522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Pepsi se compose de 3 zones à l’intérieur d’un </w:t>
      </w:r>
      <w:r w:rsidR="00226D27">
        <w:rPr>
          <w:rFonts w:ascii="Arial" w:hAnsi="Arial" w:cs="Arial"/>
        </w:rPr>
        <w:t>cercle</w:t>
      </w:r>
      <w:r>
        <w:rPr>
          <w:rFonts w:ascii="Arial" w:hAnsi="Arial" w:cs="Arial"/>
        </w:rPr>
        <w:t>: rouge au-dessus, bleu en dessous et blanc entre le</w:t>
      </w:r>
      <w:r w:rsidR="00F674C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deux. L’objectif de ce problème va être de donner une approximation de </w:t>
      </w:r>
      <w:r w:rsidR="0079101B">
        <w:rPr>
          <w:rFonts w:ascii="Arial" w:hAnsi="Arial" w:cs="Arial"/>
        </w:rPr>
        <w:t xml:space="preserve">la proportion </w:t>
      </w:r>
      <w:r w:rsidR="0092099A">
        <w:rPr>
          <w:rFonts w:ascii="Arial" w:hAnsi="Arial" w:cs="Arial"/>
        </w:rPr>
        <w:t xml:space="preserve">d’aire </w:t>
      </w:r>
      <w:r w:rsidR="0079101B">
        <w:rPr>
          <w:rFonts w:ascii="Arial" w:hAnsi="Arial" w:cs="Arial"/>
        </w:rPr>
        <w:t>prise par c</w:t>
      </w:r>
      <w:r w:rsidR="0092099A">
        <w:rPr>
          <w:rFonts w:ascii="Arial" w:hAnsi="Arial" w:cs="Arial"/>
        </w:rPr>
        <w:t>hacune de ces</w:t>
      </w:r>
      <w:r w:rsidR="0079101B">
        <w:rPr>
          <w:rFonts w:ascii="Arial" w:hAnsi="Arial" w:cs="Arial"/>
        </w:rPr>
        <w:t xml:space="preserve"> 3 couleurs </w:t>
      </w:r>
      <w:r w:rsidR="00226D27">
        <w:rPr>
          <w:rFonts w:ascii="Arial" w:hAnsi="Arial" w:cs="Arial"/>
        </w:rPr>
        <w:t>à l’intérieur de ce cercle.</w:t>
      </w:r>
    </w:p>
    <w:p w:rsidR="00F86A06" w:rsidRDefault="00F86A06" w:rsidP="00F86A06">
      <w:pPr>
        <w:jc w:val="both"/>
        <w:rPr>
          <w:rFonts w:ascii="Arial" w:hAnsi="Arial" w:cs="Arial"/>
        </w:rPr>
      </w:pPr>
    </w:p>
    <w:p w:rsidR="00E872B7" w:rsidRDefault="00F86A06" w:rsidP="009209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cela, </w:t>
      </w:r>
      <w:r w:rsidR="00226D27">
        <w:rPr>
          <w:rFonts w:ascii="Arial" w:hAnsi="Arial" w:cs="Arial"/>
        </w:rPr>
        <w:t>on considère le logo de Pepsi tel que le cercle soit de rayon 1. O</w:t>
      </w:r>
      <w:r>
        <w:rPr>
          <w:rFonts w:ascii="Arial" w:hAnsi="Arial" w:cs="Arial"/>
        </w:rPr>
        <w:t>n place ce logo en situant le centre du cercle exactement à l’origine d’un repère orthonormé (O,</w:t>
      </w:r>
      <m:oMath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i</m:t>
            </m:r>
          </m:e>
        </m:acc>
      </m:oMath>
      <w:r>
        <w:rPr>
          <w:rFonts w:ascii="Arial" w:hAnsi="Arial" w:cs="Arial"/>
        </w:rPr>
        <w:t>,</w:t>
      </w:r>
      <m:oMath>
        <m:r>
          <w:rPr>
            <w:rFonts w:ascii="Cambria Math" w:hAnsi="Cambria Math" w:cs="Arial"/>
          </w:rPr>
          <m:t xml:space="preserve"> </m:t>
        </m:r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j</m:t>
            </m:r>
          </m:e>
        </m:acc>
      </m:oMath>
      <w:r>
        <w:rPr>
          <w:rFonts w:ascii="Arial" w:hAnsi="Arial" w:cs="Arial"/>
        </w:rPr>
        <w:t>)</w:t>
      </w:r>
      <w:r w:rsidR="007A6578">
        <w:rPr>
          <w:rFonts w:ascii="Arial" w:hAnsi="Arial" w:cs="Arial"/>
        </w:rPr>
        <w:t>, et en faisant tourner le logo</w:t>
      </w:r>
      <w:r w:rsidR="00F674C4">
        <w:rPr>
          <w:rFonts w:ascii="Arial" w:hAnsi="Arial" w:cs="Arial"/>
        </w:rPr>
        <w:t xml:space="preserve"> dans le sens des aiguilles d’une montre</w:t>
      </w:r>
      <w:r w:rsidR="007A6578">
        <w:rPr>
          <w:rFonts w:ascii="Arial" w:hAnsi="Arial" w:cs="Arial"/>
        </w:rPr>
        <w:t xml:space="preserve">. En effectuant cette rotation, </w:t>
      </w:r>
      <w:r w:rsidR="00833164">
        <w:rPr>
          <w:rFonts w:ascii="Arial" w:hAnsi="Arial" w:cs="Arial"/>
        </w:rPr>
        <w:t xml:space="preserve">on se retrouve dans une situation où </w:t>
      </w:r>
      <w:r w:rsidR="007A6578">
        <w:rPr>
          <w:rFonts w:ascii="Arial" w:hAnsi="Arial" w:cs="Arial"/>
        </w:rPr>
        <w:t xml:space="preserve">on </w:t>
      </w:r>
      <w:r w:rsidR="00226D27">
        <w:rPr>
          <w:rFonts w:ascii="Arial" w:hAnsi="Arial" w:cs="Arial"/>
        </w:rPr>
        <w:t xml:space="preserve">peut </w:t>
      </w:r>
      <w:r w:rsidR="00D714F8">
        <w:rPr>
          <w:rFonts w:ascii="Arial" w:hAnsi="Arial" w:cs="Arial"/>
        </w:rPr>
        <w:t xml:space="preserve">alors </w:t>
      </w:r>
      <w:r w:rsidR="007A6578">
        <w:rPr>
          <w:rFonts w:ascii="Arial" w:hAnsi="Arial" w:cs="Arial"/>
        </w:rPr>
        <w:t>admet</w:t>
      </w:r>
      <w:r w:rsidR="00226D27">
        <w:rPr>
          <w:rFonts w:ascii="Arial" w:hAnsi="Arial" w:cs="Arial"/>
        </w:rPr>
        <w:t>tre</w:t>
      </w:r>
      <w:r w:rsidR="007A6578">
        <w:rPr>
          <w:rFonts w:ascii="Arial" w:hAnsi="Arial" w:cs="Arial"/>
        </w:rPr>
        <w:t>, même si c’est très légèrement incorrect, que la zone blanche se retrouve située entre les courbes représentatives de</w:t>
      </w:r>
      <w:r>
        <w:rPr>
          <w:rFonts w:ascii="Arial" w:hAnsi="Arial" w:cs="Arial"/>
        </w:rPr>
        <w:t xml:space="preserve"> deux fonctions </w:t>
      </w:r>
      <m:oMath>
        <m:r>
          <w:rPr>
            <w:rFonts w:ascii="Cambria Math" w:hAnsi="Cambria Math" w:cs="Arial"/>
          </w:rPr>
          <m:t>f</m:t>
        </m:r>
      </m:oMath>
      <w:r>
        <w:rPr>
          <w:rFonts w:ascii="Arial" w:hAnsi="Arial" w:cs="Arial"/>
        </w:rPr>
        <w:t xml:space="preserve"> et </w:t>
      </w:r>
      <m:oMath>
        <m:r>
          <w:rPr>
            <w:rFonts w:ascii="Cambria Math" w:hAnsi="Cambria Math" w:cs="Arial"/>
          </w:rPr>
          <m:t>g</m:t>
        </m:r>
      </m:oMath>
      <w:r>
        <w:rPr>
          <w:rFonts w:ascii="Arial" w:hAnsi="Arial" w:cs="Arial"/>
        </w:rPr>
        <w:t xml:space="preserve"> définies sur </w:t>
      </w:r>
      <w:r w:rsidR="007A6578">
        <w:rPr>
          <w:rFonts w:ascii="Arial" w:hAnsi="Arial" w:cs="Arial"/>
        </w:rPr>
        <w:t xml:space="preserve">[-1,1] </w:t>
      </w:r>
      <w:r w:rsidR="00D714F8">
        <w:rPr>
          <w:rFonts w:ascii="Arial" w:hAnsi="Arial" w:cs="Arial"/>
        </w:rPr>
        <w:t>par</w:t>
      </w:r>
      <w:r w:rsidR="007A6578">
        <w:rPr>
          <w:rFonts w:ascii="Arial" w:hAnsi="Arial" w:cs="Arial"/>
        </w:rPr>
        <w:t> :</w:t>
      </w:r>
    </w:p>
    <w:p w:rsidR="0092099A" w:rsidRDefault="0092099A" w:rsidP="0092099A">
      <w:pPr>
        <w:jc w:val="both"/>
        <w:rPr>
          <w:rFonts w:ascii="Arial" w:hAnsi="Arial" w:cs="Arial"/>
        </w:rPr>
      </w:pPr>
    </w:p>
    <w:p w:rsidR="0092099A" w:rsidRDefault="00000000" w:rsidP="0092099A">
      <w:pPr>
        <w:jc w:val="center"/>
        <w:rPr>
          <w:rFonts w:ascii="Arial" w:hAnsi="Arial" w:cs="Arial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i/>
                    </w:rPr>
                  </m:ctrlPr>
                </m:eqArrPr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>=0,25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+0,07x-0,11</m:t>
                  </m:r>
                </m:e>
                <m:e>
                  <m:r>
                    <w:rPr>
                      <w:rFonts w:ascii="Cambria Math" w:hAnsi="Cambria Math" w:cs="Arial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>=0,32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+0,4</m:t>
                  </m:r>
                  <m:r>
                    <w:rPr>
                      <w:rFonts w:ascii="Cambria Math" w:hAnsi="Cambria Math" w:cs="Arial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-0,4x-0,5</m:t>
                  </m:r>
                </m:e>
              </m:eqArr>
            </m:e>
          </m:d>
        </m:oMath>
      </m:oMathPara>
    </w:p>
    <w:p w:rsidR="0092099A" w:rsidRDefault="0092099A" w:rsidP="0092099A">
      <w:pPr>
        <w:jc w:val="both"/>
        <w:rPr>
          <w:rFonts w:ascii="Arial" w:hAnsi="Arial" w:cs="Arial"/>
        </w:rPr>
      </w:pPr>
    </w:p>
    <w:p w:rsidR="00E872B7" w:rsidRDefault="00E872B7" w:rsidP="00E872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peut voir la représentation de la situation en </w:t>
      </w:r>
      <w:r w:rsidRPr="0092099A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>.</w:t>
      </w:r>
    </w:p>
    <w:p w:rsidR="00E872B7" w:rsidRDefault="00E872B7" w:rsidP="00E872B7">
      <w:pPr>
        <w:jc w:val="both"/>
        <w:rPr>
          <w:rFonts w:ascii="Arial" w:hAnsi="Arial" w:cs="Arial"/>
        </w:rPr>
      </w:pPr>
    </w:p>
    <w:p w:rsidR="0092099A" w:rsidRPr="0092099A" w:rsidRDefault="0092099A" w:rsidP="00E872B7">
      <w:pPr>
        <w:jc w:val="both"/>
        <w:rPr>
          <w:rFonts w:ascii="Arial" w:hAnsi="Arial" w:cs="Arial"/>
          <w:i/>
          <w:iCs/>
        </w:rPr>
      </w:pPr>
      <w:r w:rsidRPr="0092099A">
        <w:rPr>
          <w:rFonts w:ascii="Arial" w:hAnsi="Arial" w:cs="Arial"/>
          <w:i/>
          <w:iCs/>
        </w:rPr>
        <w:t xml:space="preserve">Toutes les aires calculées dans ce problème sont en </w:t>
      </w:r>
      <w:r w:rsidR="00833164">
        <w:rPr>
          <w:rFonts w:ascii="Arial" w:hAnsi="Arial" w:cs="Arial"/>
          <w:i/>
          <w:iCs/>
        </w:rPr>
        <w:t>unités (i</w:t>
      </w:r>
      <w:r w:rsidRPr="0092099A">
        <w:rPr>
          <w:rFonts w:ascii="Arial" w:hAnsi="Arial" w:cs="Arial"/>
          <w:i/>
          <w:iCs/>
        </w:rPr>
        <w:t>l ne sera pas nécessaire de rajouter une notation après les valeurs trouvées</w:t>
      </w:r>
      <w:r w:rsidR="00833164">
        <w:rPr>
          <w:rFonts w:ascii="Arial" w:hAnsi="Arial" w:cs="Arial"/>
          <w:i/>
          <w:iCs/>
        </w:rPr>
        <w:t>).</w:t>
      </w:r>
    </w:p>
    <w:p w:rsidR="0092099A" w:rsidRDefault="0092099A" w:rsidP="00E872B7">
      <w:pPr>
        <w:jc w:val="both"/>
        <w:rPr>
          <w:rFonts w:ascii="Arial" w:hAnsi="Arial" w:cs="Arial"/>
        </w:rPr>
      </w:pPr>
    </w:p>
    <w:p w:rsidR="007A6578" w:rsidRDefault="007A6578" w:rsidP="007A6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a) </w:t>
      </w:r>
      <w:r w:rsidR="00222197">
        <w:rPr>
          <w:rFonts w:ascii="Arial" w:hAnsi="Arial" w:cs="Arial"/>
        </w:rPr>
        <w:t>Étudier</w:t>
      </w:r>
      <w:r>
        <w:rPr>
          <w:rFonts w:ascii="Arial" w:hAnsi="Arial" w:cs="Arial"/>
        </w:rPr>
        <w:t xml:space="preserve"> les variations de la fonction </w:t>
      </w:r>
      <m:oMath>
        <m:r>
          <w:rPr>
            <w:rFonts w:ascii="Cambria Math" w:hAnsi="Cambria Math" w:cs="Arial"/>
          </w:rPr>
          <m:t>g</m:t>
        </m:r>
      </m:oMath>
      <w:r>
        <w:rPr>
          <w:rFonts w:ascii="Arial" w:hAnsi="Arial" w:cs="Arial"/>
        </w:rPr>
        <w:t xml:space="preserve"> sur [-1,1].</w:t>
      </w:r>
    </w:p>
    <w:p w:rsidR="007A6578" w:rsidRDefault="007A6578" w:rsidP="007A6578">
      <w:pPr>
        <w:jc w:val="both"/>
        <w:rPr>
          <w:rFonts w:ascii="Arial" w:hAnsi="Arial" w:cs="Arial"/>
        </w:rPr>
      </w:pPr>
    </w:p>
    <w:p w:rsidR="007A6578" w:rsidRDefault="007A6578" w:rsidP="007A6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En déduire que </w:t>
      </w:r>
      <m:oMath>
        <m:r>
          <w:rPr>
            <w:rFonts w:ascii="Cambria Math" w:hAnsi="Cambria Math" w:cs="Arial"/>
          </w:rPr>
          <m:t>g(x)</m:t>
        </m:r>
      </m:oMath>
      <w:r w:rsidR="0092099A">
        <w:rPr>
          <w:rFonts w:ascii="Arial" w:hAnsi="Arial" w:cs="Arial"/>
        </w:rPr>
        <w:t xml:space="preserve"> ≤ </w:t>
      </w:r>
      <w:r>
        <w:rPr>
          <w:rFonts w:ascii="Arial" w:hAnsi="Arial" w:cs="Arial"/>
        </w:rPr>
        <w:t>0.</w:t>
      </w:r>
    </w:p>
    <w:p w:rsidR="007A6578" w:rsidRDefault="007A6578" w:rsidP="007A6578">
      <w:pPr>
        <w:jc w:val="both"/>
        <w:rPr>
          <w:rFonts w:ascii="Arial" w:hAnsi="Arial" w:cs="Arial"/>
        </w:rPr>
      </w:pPr>
    </w:p>
    <w:p w:rsidR="00CC40AC" w:rsidRPr="0092099A" w:rsidRDefault="007A6578" w:rsidP="00F82158">
      <w:pPr>
        <w:rPr>
          <w:rFonts w:ascii="Arial" w:hAnsi="Arial" w:cs="Arial"/>
        </w:rPr>
      </w:pPr>
      <w:r w:rsidRPr="0092099A">
        <w:rPr>
          <w:rFonts w:ascii="Arial" w:hAnsi="Arial" w:cs="Arial"/>
        </w:rPr>
        <w:t xml:space="preserve">c) Calculer </w:t>
      </w:r>
      <w:r w:rsidR="0092099A" w:rsidRPr="0092099A">
        <w:rPr>
          <w:rFonts w:ascii="Arial" w:hAnsi="Arial" w:cs="Arial"/>
        </w:rPr>
        <w:t>l’aire situé</w:t>
      </w:r>
      <w:r w:rsidR="0092099A">
        <w:rPr>
          <w:rFonts w:ascii="Arial" w:hAnsi="Arial" w:cs="Arial"/>
        </w:rPr>
        <w:t>e</w:t>
      </w:r>
      <w:r w:rsidR="0092099A" w:rsidRPr="0092099A">
        <w:rPr>
          <w:rFonts w:ascii="Arial" w:hAnsi="Arial" w:cs="Arial"/>
        </w:rPr>
        <w:t xml:space="preserve"> entre l’axe des abscisses</w:t>
      </w:r>
      <w:r w:rsidR="0092099A">
        <w:rPr>
          <w:rFonts w:ascii="Arial" w:hAnsi="Arial" w:cs="Arial"/>
        </w:rPr>
        <w:t xml:space="preserve"> et la courbe représentative de </w:t>
      </w:r>
      <m:oMath>
        <m:r>
          <w:rPr>
            <w:rFonts w:ascii="Cambria Math" w:hAnsi="Cambria Math" w:cs="Arial"/>
          </w:rPr>
          <m:t>g</m:t>
        </m:r>
      </m:oMath>
      <w:r w:rsidR="00F674C4">
        <w:rPr>
          <w:rFonts w:ascii="Arial" w:hAnsi="Arial" w:cs="Arial"/>
        </w:rPr>
        <w:t>.</w:t>
      </w:r>
    </w:p>
    <w:p w:rsidR="00222197" w:rsidRPr="0092099A" w:rsidRDefault="00222197" w:rsidP="00F82158">
      <w:pPr>
        <w:rPr>
          <w:rFonts w:ascii="Arial" w:hAnsi="Arial" w:cs="Arial"/>
        </w:rPr>
      </w:pPr>
    </w:p>
    <w:p w:rsidR="00222197" w:rsidRDefault="00222197" w:rsidP="00F821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92099A">
        <w:rPr>
          <w:rFonts w:ascii="Arial" w:hAnsi="Arial" w:cs="Arial"/>
        </w:rPr>
        <w:t xml:space="preserve">On </w:t>
      </w:r>
      <w:r w:rsidR="00D714F8">
        <w:rPr>
          <w:rFonts w:ascii="Arial" w:hAnsi="Arial" w:cs="Arial"/>
        </w:rPr>
        <w:t>admet</w:t>
      </w:r>
      <w:r>
        <w:rPr>
          <w:rFonts w:ascii="Arial" w:hAnsi="Arial" w:cs="Arial"/>
        </w:rPr>
        <w:t xml:space="preserve"> que l’aire la zone bleue est </w:t>
      </w:r>
      <w:r w:rsidR="0092099A">
        <w:rPr>
          <w:rFonts w:ascii="Arial" w:hAnsi="Arial" w:cs="Arial"/>
        </w:rPr>
        <w:t xml:space="preserve">quasiment </w:t>
      </w:r>
      <w:r>
        <w:rPr>
          <w:rFonts w:ascii="Arial" w:hAnsi="Arial" w:cs="Arial"/>
        </w:rPr>
        <w:t>égale à la différence entre l’aire du demi-</w:t>
      </w:r>
      <w:r w:rsidR="00E872B7">
        <w:rPr>
          <w:rFonts w:ascii="Arial" w:hAnsi="Arial" w:cs="Arial"/>
        </w:rPr>
        <w:t>disque</w:t>
      </w:r>
      <w:r>
        <w:rPr>
          <w:rFonts w:ascii="Arial" w:hAnsi="Arial" w:cs="Arial"/>
        </w:rPr>
        <w:t xml:space="preserve"> inférieur du logo </w:t>
      </w:r>
      <w:r w:rsidR="0092099A">
        <w:rPr>
          <w:rFonts w:ascii="Arial" w:hAnsi="Arial" w:cs="Arial"/>
        </w:rPr>
        <w:t xml:space="preserve">(ici sous l’axe des abscisses) </w:t>
      </w:r>
      <w:r>
        <w:rPr>
          <w:rFonts w:ascii="Arial" w:hAnsi="Arial" w:cs="Arial"/>
        </w:rPr>
        <w:t>et l’aire calculée en 1.c). En déduire l’aire de la zone bleue.</w:t>
      </w:r>
    </w:p>
    <w:p w:rsidR="00222197" w:rsidRDefault="00222197" w:rsidP="00F82158">
      <w:pPr>
        <w:rPr>
          <w:rFonts w:ascii="Arial" w:hAnsi="Arial" w:cs="Arial"/>
        </w:rPr>
      </w:pPr>
    </w:p>
    <w:p w:rsidR="00222197" w:rsidRDefault="00222197" w:rsidP="00F821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107166">
        <w:rPr>
          <w:rFonts w:ascii="Arial" w:hAnsi="Arial" w:cs="Arial"/>
        </w:rPr>
        <w:t>Soit la fonction</w:t>
      </w: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h</m:t>
        </m:r>
      </m:oMath>
      <w:r w:rsidR="00107166">
        <w:rPr>
          <w:rFonts w:ascii="Arial" w:hAnsi="Arial" w:cs="Arial"/>
        </w:rPr>
        <w:t xml:space="preserve"> définie par </w:t>
      </w:r>
      <m:oMath>
        <m:r>
          <w:rPr>
            <w:rFonts w:ascii="Cambria Math" w:hAnsi="Cambria Math" w:cs="Arial"/>
          </w:rPr>
          <m:t>h(x) = f(x) – g(x)</m:t>
        </m:r>
      </m:oMath>
      <w:r w:rsidR="00107166">
        <w:rPr>
          <w:rFonts w:ascii="Arial" w:hAnsi="Arial" w:cs="Arial"/>
        </w:rPr>
        <w:t xml:space="preserve"> sur [-1,1].</w:t>
      </w:r>
    </w:p>
    <w:p w:rsidR="00222197" w:rsidRDefault="00222197" w:rsidP="00F82158">
      <w:pPr>
        <w:rPr>
          <w:rFonts w:ascii="Arial" w:hAnsi="Arial" w:cs="Arial"/>
        </w:rPr>
      </w:pPr>
    </w:p>
    <w:p w:rsidR="00222197" w:rsidRDefault="00222197" w:rsidP="002221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Étudier les variations de la fonction </w:t>
      </w:r>
      <m:oMath>
        <m:r>
          <w:rPr>
            <w:rFonts w:ascii="Cambria Math" w:hAnsi="Cambria Math" w:cs="Arial"/>
          </w:rPr>
          <m:t>h</m:t>
        </m:r>
      </m:oMath>
      <w:r>
        <w:rPr>
          <w:rFonts w:ascii="Arial" w:hAnsi="Arial" w:cs="Arial"/>
        </w:rPr>
        <w:t xml:space="preserve"> sur [-1,1].</w:t>
      </w:r>
    </w:p>
    <w:p w:rsidR="00222197" w:rsidRDefault="00222197" w:rsidP="00222197">
      <w:pPr>
        <w:jc w:val="both"/>
        <w:rPr>
          <w:rFonts w:ascii="Arial" w:hAnsi="Arial" w:cs="Arial"/>
        </w:rPr>
      </w:pPr>
    </w:p>
    <w:p w:rsidR="00222197" w:rsidRDefault="00222197" w:rsidP="002221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En déduire que </w:t>
      </w:r>
      <m:oMath>
        <m:r>
          <w:rPr>
            <w:rFonts w:ascii="Cambria Math" w:hAnsi="Cambria Math" w:cs="Arial"/>
          </w:rPr>
          <m:t>h(x)</m:t>
        </m:r>
      </m:oMath>
      <w:r>
        <w:rPr>
          <w:rFonts w:ascii="Arial" w:hAnsi="Arial" w:cs="Arial"/>
        </w:rPr>
        <w:t xml:space="preserve"> &gt; 0</w:t>
      </w:r>
      <w:r w:rsidR="003B2509">
        <w:rPr>
          <w:rFonts w:ascii="Arial" w:hAnsi="Arial" w:cs="Arial"/>
        </w:rPr>
        <w:t xml:space="preserve"> sur cet intervalle.</w:t>
      </w:r>
    </w:p>
    <w:p w:rsidR="00222197" w:rsidRDefault="00222197" w:rsidP="00222197">
      <w:pPr>
        <w:jc w:val="both"/>
        <w:rPr>
          <w:rFonts w:ascii="Arial" w:hAnsi="Arial" w:cs="Arial"/>
        </w:rPr>
      </w:pPr>
    </w:p>
    <w:p w:rsidR="00222197" w:rsidRDefault="00222197" w:rsidP="002221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Calculer alors l’aire</w:t>
      </w:r>
      <w:r w:rsidR="001071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la zone blanche.</w:t>
      </w:r>
    </w:p>
    <w:p w:rsidR="00222197" w:rsidRDefault="00222197" w:rsidP="00222197">
      <w:pPr>
        <w:jc w:val="both"/>
        <w:rPr>
          <w:rFonts w:ascii="Arial" w:hAnsi="Arial" w:cs="Arial"/>
        </w:rPr>
      </w:pPr>
    </w:p>
    <w:p w:rsidR="00222197" w:rsidRDefault="00222197" w:rsidP="002221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92099A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éduire </w:t>
      </w:r>
      <w:r w:rsidR="0092099A">
        <w:rPr>
          <w:rFonts w:ascii="Arial" w:hAnsi="Arial" w:cs="Arial"/>
        </w:rPr>
        <w:t xml:space="preserve">des questions 1) et 2) </w:t>
      </w:r>
      <w:r>
        <w:rPr>
          <w:rFonts w:ascii="Arial" w:hAnsi="Arial" w:cs="Arial"/>
        </w:rPr>
        <w:t xml:space="preserve">l’aire de la zone </w:t>
      </w:r>
      <w:r w:rsidR="00107166">
        <w:rPr>
          <w:rFonts w:ascii="Arial" w:hAnsi="Arial" w:cs="Arial"/>
        </w:rPr>
        <w:t>rouge</w:t>
      </w:r>
      <w:r>
        <w:rPr>
          <w:rFonts w:ascii="Arial" w:hAnsi="Arial" w:cs="Arial"/>
        </w:rPr>
        <w:t>.</w:t>
      </w:r>
    </w:p>
    <w:p w:rsidR="00222197" w:rsidRDefault="00222197" w:rsidP="00F82158">
      <w:pPr>
        <w:rPr>
          <w:rFonts w:ascii="Arial" w:hAnsi="Arial" w:cs="Arial"/>
        </w:rPr>
      </w:pPr>
    </w:p>
    <w:p w:rsidR="00222197" w:rsidRDefault="00222197" w:rsidP="00F82158">
      <w:pPr>
        <w:rPr>
          <w:rFonts w:ascii="Arial" w:hAnsi="Arial" w:cs="Arial"/>
        </w:rPr>
      </w:pPr>
      <w:r>
        <w:rPr>
          <w:rFonts w:ascii="Arial" w:hAnsi="Arial" w:cs="Arial"/>
        </w:rPr>
        <w:t>4) Conclure en écrivant en % les proportions relatives de chaque zone par rapport à l’aire totale du disque</w:t>
      </w:r>
      <w:r w:rsidR="00047AF1">
        <w:rPr>
          <w:rFonts w:ascii="Arial" w:hAnsi="Arial" w:cs="Arial"/>
        </w:rPr>
        <w:t xml:space="preserve"> (arrondir à l’unité).</w:t>
      </w:r>
    </w:p>
    <w:p w:rsidR="00694D1C" w:rsidRDefault="00694D1C" w:rsidP="00F82158">
      <w:pPr>
        <w:rPr>
          <w:rFonts w:ascii="Arial" w:hAnsi="Arial" w:cs="Arial"/>
        </w:rPr>
      </w:pPr>
    </w:p>
    <w:p w:rsidR="00F82158" w:rsidRDefault="004A3A39" w:rsidP="00694D1C">
      <w:pPr>
        <w:jc w:val="center"/>
        <w:rPr>
          <w:rFonts w:ascii="Arial" w:hAnsi="Arial" w:cs="Arial"/>
          <w:b/>
          <w:bCs/>
        </w:rPr>
      </w:pPr>
      <w:r w:rsidRPr="00694D1C">
        <w:rPr>
          <w:rFonts w:ascii="Arial" w:hAnsi="Arial" w:cs="Arial"/>
          <w:b/>
          <w:bCs/>
        </w:rPr>
        <w:t>Annexe</w:t>
      </w:r>
    </w:p>
    <w:p w:rsidR="00A434CD" w:rsidRPr="00694D1C" w:rsidRDefault="00A434CD" w:rsidP="00694D1C">
      <w:pPr>
        <w:jc w:val="center"/>
        <w:rPr>
          <w:rFonts w:ascii="Arial" w:hAnsi="Arial" w:cs="Arial"/>
          <w:b/>
          <w:bCs/>
        </w:rPr>
      </w:pPr>
    </w:p>
    <w:p w:rsidR="00694D1C" w:rsidRDefault="00C97EE9" w:rsidP="0069515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622800" cy="46228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462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D1C" w:rsidRDefault="00694D1C" w:rsidP="00F82158">
      <w:pPr>
        <w:jc w:val="both"/>
        <w:rPr>
          <w:rFonts w:ascii="Arial" w:hAnsi="Arial" w:cs="Arial"/>
        </w:rPr>
      </w:pPr>
    </w:p>
    <w:p w:rsidR="006470D9" w:rsidRPr="006332B9" w:rsidRDefault="006470D9" w:rsidP="002D3230">
      <w:pPr>
        <w:jc w:val="both"/>
        <w:rPr>
          <w:rFonts w:ascii="Arial" w:hAnsi="Arial" w:cs="Arial"/>
        </w:rPr>
      </w:pPr>
    </w:p>
    <w:sectPr w:rsidR="006470D9" w:rsidRPr="006332B9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3F34" w:rsidRDefault="00CB3F34">
      <w:r>
        <w:separator/>
      </w:r>
    </w:p>
  </w:endnote>
  <w:endnote w:type="continuationSeparator" w:id="0">
    <w:p w:rsidR="00CB3F34" w:rsidRDefault="00CB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3F34" w:rsidRDefault="00CB3F34">
      <w:r>
        <w:separator/>
      </w:r>
    </w:p>
  </w:footnote>
  <w:footnote w:type="continuationSeparator" w:id="0">
    <w:p w:rsidR="00CB3F34" w:rsidRDefault="00CB3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018351">
    <w:abstractNumId w:val="3"/>
  </w:num>
  <w:num w:numId="2" w16cid:durableId="1671106134">
    <w:abstractNumId w:val="2"/>
  </w:num>
  <w:num w:numId="3" w16cid:durableId="1073040035">
    <w:abstractNumId w:val="1"/>
  </w:num>
  <w:num w:numId="4" w16cid:durableId="1243418655">
    <w:abstractNumId w:val="4"/>
  </w:num>
  <w:num w:numId="5" w16cid:durableId="16560331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5F5F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AF1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3B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19DC"/>
    <w:rsid w:val="000F243C"/>
    <w:rsid w:val="000F248F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7166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5054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9FA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313"/>
    <w:rsid w:val="0022160D"/>
    <w:rsid w:val="00221FBC"/>
    <w:rsid w:val="00222162"/>
    <w:rsid w:val="00222197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6D27"/>
    <w:rsid w:val="00227783"/>
    <w:rsid w:val="00227B1B"/>
    <w:rsid w:val="00230694"/>
    <w:rsid w:val="002307FB"/>
    <w:rsid w:val="00230A99"/>
    <w:rsid w:val="002315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AA3"/>
    <w:rsid w:val="00322F54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C39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4B7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729"/>
    <w:rsid w:val="00370FA4"/>
    <w:rsid w:val="0037111E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2509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816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49E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A39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4C97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29BB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5FEF"/>
    <w:rsid w:val="006470D9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1C"/>
    <w:rsid w:val="00694D21"/>
    <w:rsid w:val="0069515E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01B"/>
    <w:rsid w:val="00791465"/>
    <w:rsid w:val="00791D14"/>
    <w:rsid w:val="00792257"/>
    <w:rsid w:val="00792A92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578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6C9E"/>
    <w:rsid w:val="007E6E40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3B9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164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4B50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5C1"/>
    <w:rsid w:val="008C1A6F"/>
    <w:rsid w:val="008C1AD7"/>
    <w:rsid w:val="008C1FA0"/>
    <w:rsid w:val="008C2A1C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7F1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8B0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099A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67E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4A9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DB6"/>
    <w:rsid w:val="009A0C43"/>
    <w:rsid w:val="009A21F7"/>
    <w:rsid w:val="009A2217"/>
    <w:rsid w:val="009A255A"/>
    <w:rsid w:val="009A25AD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4A3"/>
    <w:rsid w:val="00A310F2"/>
    <w:rsid w:val="00A31156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4CD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A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2522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E80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960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97EE9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3F34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40A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6C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A0D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4F8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EBC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38F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6B1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2B7"/>
    <w:rsid w:val="00E87375"/>
    <w:rsid w:val="00E87543"/>
    <w:rsid w:val="00E87F7D"/>
    <w:rsid w:val="00E90859"/>
    <w:rsid w:val="00E914C7"/>
    <w:rsid w:val="00E91912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3A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094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674C4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A06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6D04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EA2B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0D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2022-03-24T20:29:00Z</cp:lastPrinted>
  <dcterms:created xsi:type="dcterms:W3CDTF">2022-03-24T20:29:00Z</dcterms:created>
  <dcterms:modified xsi:type="dcterms:W3CDTF">2024-06-01T18:23:00Z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